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F5535" w14:textId="77777777" w:rsidR="00ED2D44" w:rsidRDefault="00ED2D44" w:rsidP="00ED2D44">
      <w:pPr>
        <w:ind w:left="-567"/>
      </w:pPr>
      <w:r>
        <w:rPr>
          <w:rFonts w:ascii="Open Sans" w:hAnsi="Open Sans" w:cs="Open Sans"/>
          <w:caps/>
          <w:color w:val="868585"/>
          <w:sz w:val="46"/>
          <w:szCs w:val="46"/>
          <w:shd w:val="clear" w:color="auto" w:fill="FFFFFF"/>
        </w:rPr>
        <w:t>БИЗНЕС-РЕЗЮМЕ</w:t>
      </w:r>
      <w:r>
        <w:rPr>
          <w:rStyle w:val="apple-converted-space"/>
          <w:rFonts w:ascii="Open Sans" w:hAnsi="Open Sans" w:cs="Open Sans"/>
          <w:caps/>
          <w:color w:val="868585"/>
          <w:sz w:val="46"/>
          <w:szCs w:val="46"/>
          <w:shd w:val="clear" w:color="auto" w:fill="FFFFFF"/>
        </w:rPr>
        <w:t> </w:t>
      </w:r>
      <w:r>
        <w:rPr>
          <w:rFonts w:ascii="Open Sans" w:hAnsi="Open Sans" w:cs="Open Sans"/>
          <w:caps/>
          <w:color w:val="868585"/>
          <w:sz w:val="46"/>
          <w:szCs w:val="46"/>
          <w:shd w:val="clear" w:color="auto" w:fill="FFFFFF"/>
        </w:rPr>
        <w:br/>
        <w:t>ТМ «ЭКО-ЦЕНТР РАЗВИТИЯ ДЕТЕЙ ЛАДУШКИ» 100%</w:t>
      </w:r>
    </w:p>
    <w:tbl>
      <w:tblPr>
        <w:tblW w:w="10348" w:type="dxa"/>
        <w:tblCellSpacing w:w="15" w:type="dxa"/>
        <w:tblInd w:w="-575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5"/>
        <w:gridCol w:w="6923"/>
      </w:tblGrid>
      <w:tr w:rsidR="00555E14" w:rsidRPr="00555E14" w14:paraId="779FD4A1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1CC49F22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Сфера деятельности Бизнеса:</w:t>
            </w:r>
          </w:p>
        </w:tc>
        <w:tc>
          <w:tcPr>
            <w:tcW w:w="6878" w:type="dxa"/>
            <w:shd w:val="clear" w:color="auto" w:fill="FFFFFF"/>
            <w:hideMark/>
          </w:tcPr>
          <w:p w14:paraId="3E199CC4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Услуги в сфере развития детей, детская и семейная психология, частный </w:t>
            </w:r>
            <w:hyperlink r:id="rId5" w:history="1">
              <w:r w:rsidRPr="00555E14">
                <w:rPr>
                  <w:rFonts w:ascii="Arial" w:eastAsia="Times New Roman" w:hAnsi="Arial" w:cs="Arial"/>
                  <w:color w:val="000000"/>
                  <w:szCs w:val="17"/>
                  <w:u w:val="single"/>
                  <w:lang w:eastAsia="ru-RU"/>
                </w:rPr>
                <w:t>детский сад</w:t>
              </w:r>
            </w:hyperlink>
          </w:p>
        </w:tc>
      </w:tr>
      <w:tr w:rsidR="00555E14" w:rsidRPr="00555E14" w14:paraId="14E227E2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49AD24FD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Резюме Бизнеса </w:t>
            </w: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br/>
              <w:t>(информация о франшизе, её специфика и особенности):</w:t>
            </w:r>
          </w:p>
        </w:tc>
        <w:tc>
          <w:tcPr>
            <w:tcW w:w="6878" w:type="dxa"/>
            <w:shd w:val="clear" w:color="auto" w:fill="FFFFFF"/>
            <w:hideMark/>
          </w:tcPr>
          <w:p w14:paraId="1270EB89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Эко–центр развития детей «Ладушки»</w:t>
            </w:r>
          </w:p>
          <w:p w14:paraId="11089048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Бизнес «Ладушки» - это услуги по оказанию психологической помощи населению и проект, занимающийся психологическим просвещением. Место на рынке подобных услуг не занято, а поле для деятельности «не паханное». Волна психологической грамотности еще полностью не докатилась до нашей страны, люди еще с опаской относятся к слову «психотерапия». Команда Эко-центра развития детей и психологии семьи приглашает Вас стать частью «Ладушек», чтобы нести идею гармонизации отношений, достижения «золотой середины» в жизни, стремление к внутреннему ЛАДу и открытие своего потенциального «кЛАДА». Наши программы - это не просто «развивалки», а наше расписание - это не только перечень услуг и мероприятий. Каждый урок, определенная последовательность уроков, соответствующие условия проведения занятий и обученные специалисты - это залог создания психологической Эко-среды, которая в свою очередь «волшебным образом» действует на ребенка и всю его семью.</w:t>
            </w:r>
          </w:p>
          <w:p w14:paraId="1093E5C3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Психологическая Эко-среда принесет в семью больше взаимопонимания, создаст условия для формирования свободной личности, которая имеет возможности осознать и удовлетворить все свои потребности, что в свою очередь делает человека СЧАСТЛИВЫМ И НАПОЛНЕННЫМ ЛЮБОВЬЮ. Для общества в целом - это первый шаг к удовлетворению своей жизнью, к осознанию ее смысла и мирному сосуществованию на ПЛАНЕТЕ.</w:t>
            </w:r>
          </w:p>
        </w:tc>
      </w:tr>
      <w:tr w:rsidR="00555E14" w:rsidRPr="00555E14" w14:paraId="2C4A42C6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4320CBDD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Стоимость франшизы:</w:t>
            </w:r>
          </w:p>
        </w:tc>
        <w:tc>
          <w:tcPr>
            <w:tcW w:w="6878" w:type="dxa"/>
            <w:shd w:val="clear" w:color="auto" w:fill="FFFFFF"/>
            <w:hideMark/>
          </w:tcPr>
          <w:p w14:paraId="5C39B10E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10 000 у.е.</w:t>
            </w:r>
          </w:p>
        </w:tc>
      </w:tr>
      <w:tr w:rsidR="00555E14" w:rsidRPr="00555E14" w14:paraId="7F3C8AEE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37F073DB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Сумма Инвестиций для запуска Бизнеса:</w:t>
            </w:r>
          </w:p>
        </w:tc>
        <w:tc>
          <w:tcPr>
            <w:tcW w:w="6878" w:type="dxa"/>
            <w:shd w:val="clear" w:color="auto" w:fill="FFFFFF"/>
            <w:hideMark/>
          </w:tcPr>
          <w:p w14:paraId="1E996ECE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От 10 000 у.е.</w:t>
            </w:r>
          </w:p>
        </w:tc>
      </w:tr>
      <w:tr w:rsidR="00555E14" w:rsidRPr="00555E14" w14:paraId="2A3C3C22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50AAD235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lastRenderedPageBreak/>
              <w:t>Роялти:</w:t>
            </w:r>
          </w:p>
        </w:tc>
        <w:tc>
          <w:tcPr>
            <w:tcW w:w="6878" w:type="dxa"/>
            <w:shd w:val="clear" w:color="auto" w:fill="FFFFFF"/>
            <w:hideMark/>
          </w:tcPr>
          <w:p w14:paraId="444F1DEF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нет</w:t>
            </w:r>
          </w:p>
        </w:tc>
      </w:tr>
      <w:tr w:rsidR="00555E14" w:rsidRPr="00555E14" w14:paraId="338474D6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63DBA3D0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Рекламные отчисления:</w:t>
            </w:r>
          </w:p>
        </w:tc>
        <w:tc>
          <w:tcPr>
            <w:tcW w:w="6878" w:type="dxa"/>
            <w:shd w:val="clear" w:color="auto" w:fill="FFFFFF"/>
            <w:hideMark/>
          </w:tcPr>
          <w:p w14:paraId="7C285CFE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По договоренности</w:t>
            </w:r>
          </w:p>
        </w:tc>
      </w:tr>
      <w:tr w:rsidR="00555E14" w:rsidRPr="00555E14" w14:paraId="476F6F31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7B82F341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Срок окупаемости Инвестиций:</w:t>
            </w:r>
          </w:p>
        </w:tc>
        <w:tc>
          <w:tcPr>
            <w:tcW w:w="6878" w:type="dxa"/>
            <w:shd w:val="clear" w:color="auto" w:fill="FFFFFF"/>
            <w:hideMark/>
          </w:tcPr>
          <w:p w14:paraId="69BB09AF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1 год</w:t>
            </w:r>
          </w:p>
        </w:tc>
      </w:tr>
      <w:tr w:rsidR="00555E14" w:rsidRPr="00555E14" w14:paraId="5737194E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190984DE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Пакет поддержки для Партнеров:</w:t>
            </w:r>
          </w:p>
        </w:tc>
        <w:tc>
          <w:tcPr>
            <w:tcW w:w="6878" w:type="dxa"/>
            <w:shd w:val="clear" w:color="auto" w:fill="FFFFFF"/>
            <w:hideMark/>
          </w:tcPr>
          <w:p w14:paraId="1D3AF8DD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Право на использование ТМ Ладушки</w:t>
            </w:r>
          </w:p>
          <w:p w14:paraId="7A6A034F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Система организации бизнеса по стандартам сети.</w:t>
            </w:r>
          </w:p>
          <w:p w14:paraId="500DE369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Качественный отбор персонала, контроль его работы и обучение персонала.</w:t>
            </w:r>
          </w:p>
          <w:p w14:paraId="3FDA1AC5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Методики и структуры программы, по которым проводятся занятия в клубе; специальное расписание занятий.</w:t>
            </w:r>
          </w:p>
          <w:p w14:paraId="2D41D96D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Формирование комплекса услуг клуба в зависимости от спроса, особенностей территории и маркетинговых исследований.</w:t>
            </w:r>
          </w:p>
          <w:p w14:paraId="523EE69D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Качественная целенаправленная реклама и первичная работа с клиентами.</w:t>
            </w:r>
          </w:p>
          <w:p w14:paraId="522201D5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Консультирование в процессе отбора и оформления помещения.</w:t>
            </w:r>
          </w:p>
          <w:p w14:paraId="7DAD1853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Работа пусковой команды, которая готовит клуб к открытию и помогает провести первые занятия.</w:t>
            </w:r>
          </w:p>
          <w:p w14:paraId="748B2115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Постоянная поддержка со стороны франчайзера и усовершенствование концепции.</w:t>
            </w:r>
          </w:p>
          <w:p w14:paraId="1881296D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Постоянная поддержка и обучение руководителя клуба.</w:t>
            </w:r>
          </w:p>
          <w:p w14:paraId="2E1F0BBF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Юридическая помощь и юридическая документация, помощь в оформлении ФОП , подбор КВЕДов.</w:t>
            </w:r>
          </w:p>
          <w:p w14:paraId="78126D5C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Бухгалтерское сопровождение.</w:t>
            </w:r>
          </w:p>
          <w:p w14:paraId="75FA4D7E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Финансовый план центра.</w:t>
            </w:r>
          </w:p>
          <w:p w14:paraId="1E7BCA58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Формы и системы внутреннего контроля и мотивации персонала</w:t>
            </w:r>
          </w:p>
          <w:p w14:paraId="0E0E5748" w14:textId="77777777" w:rsidR="00555E14" w:rsidRPr="00555E14" w:rsidRDefault="00555E14" w:rsidP="00555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000000"/>
                <w:szCs w:val="15"/>
                <w:lang w:eastAsia="ru-RU"/>
              </w:rPr>
              <w:t>Право продавать свою Франшизу «Ладушки»</w:t>
            </w:r>
          </w:p>
        </w:tc>
      </w:tr>
      <w:tr w:rsidR="00555E14" w:rsidRPr="00555E14" w14:paraId="7A939AE0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77D2AF5B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Дополнительные сведения о Бизнесе:</w:t>
            </w:r>
          </w:p>
          <w:p w14:paraId="689E3715" w14:textId="77777777" w:rsidR="00555E14" w:rsidRPr="00555E14" w:rsidRDefault="00555E14" w:rsidP="00555E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14:paraId="18B418BE" w14:textId="77777777" w:rsidR="00555E14" w:rsidRPr="00555E14" w:rsidRDefault="00555E14" w:rsidP="00555E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необходимое количество персонала;</w:t>
            </w:r>
          </w:p>
          <w:p w14:paraId="5025EB04" w14:textId="77777777" w:rsidR="00555E14" w:rsidRPr="00555E14" w:rsidRDefault="00555E14" w:rsidP="00555E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требования к помещению;</w:t>
            </w:r>
          </w:p>
          <w:p w14:paraId="59B5E8EB" w14:textId="77777777" w:rsidR="00555E14" w:rsidRPr="00555E14" w:rsidRDefault="00555E14" w:rsidP="00555E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требования к городу;</w:t>
            </w:r>
          </w:p>
          <w:p w14:paraId="32B571DD" w14:textId="77777777" w:rsidR="00555E14" w:rsidRPr="00555E14" w:rsidRDefault="00555E14" w:rsidP="00555E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портрет идеального франчайзи;</w:t>
            </w:r>
          </w:p>
          <w:p w14:paraId="75DDF3BD" w14:textId="77777777" w:rsidR="00555E14" w:rsidRPr="00555E14" w:rsidRDefault="00555E14" w:rsidP="00555E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преимущества работы в сети;</w:t>
            </w:r>
          </w:p>
          <w:p w14:paraId="5EDC8C4D" w14:textId="77777777" w:rsidR="00555E14" w:rsidRPr="00555E14" w:rsidRDefault="00555E14" w:rsidP="00555E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описание франшизы и др.</w:t>
            </w:r>
          </w:p>
          <w:p w14:paraId="4DFF3C84" w14:textId="77777777" w:rsidR="00555E14" w:rsidRPr="00555E14" w:rsidRDefault="00555E14" w:rsidP="00555E1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878" w:type="dxa"/>
            <w:shd w:val="clear" w:color="auto" w:fill="FFFFFF"/>
            <w:hideMark/>
          </w:tcPr>
          <w:p w14:paraId="53C165EC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Персонал: 3-5 человек на точке;</w:t>
            </w:r>
          </w:p>
          <w:p w14:paraId="3D7003FF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Помещение от 100 м2</w:t>
            </w:r>
          </w:p>
          <w:p w14:paraId="0D5631BF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Любой город</w:t>
            </w:r>
          </w:p>
          <w:p w14:paraId="3EBF1346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Кто же он - наш идеальный франчайзи ?!</w:t>
            </w:r>
          </w:p>
          <w:p w14:paraId="435348AF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Это личность неординарно мыслящая и разделяющая наши взгляды на воспитание детей.</w:t>
            </w:r>
          </w:p>
          <w:p w14:paraId="6D183CC2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Это человек, имеющий желание, внести свою лепту в развитие здорового поколения.</w:t>
            </w: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br/>
              <w:t>Это бизнесмен, который рассматривает свою деятельность не только с точки зрения дохода.</w:t>
            </w:r>
          </w:p>
          <w:p w14:paraId="55DFE0DA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 xml:space="preserve">Бизнес «Ладушки» - это услуги по оказанию психологической помощи населению и проект, занимающийся психологическим </w:t>
            </w: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lastRenderedPageBreak/>
              <w:t>просвещением. Место на рынке подобных услуг не занято, а поле для деятельности «не паханное». Волна психологической грамотности еще полностью не докатилась до нашей страны, люди еще с опаской относятся к слову «психотерапия». Команда Эко-центра развития детей и психологии семьи приглашает Вас стать частью «Ладушек», чтобы нести идею гармонизации отношений, достижения «золотой середины» в жизни, стремление к внутреннему ЛАДу и открытие своего потенциального «кЛАДА». Наши программы - это не просто «развивалки», а наше расписание - это не только перечень услуг и мероприятий. Каждый урок, определенная последовательность уроков, соответствующие условия проведения занятий и обученные специалисты - это залог создания психологической Эко-среды, которая в свою очередь «волшебным образом» действует на ребенка и всю его семью.</w:t>
            </w:r>
          </w:p>
          <w:p w14:paraId="08C1E723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Психологическая Эко-среда принесет в семью больше взаимопонимания, создаст условия для формирования свободной личности, которая имеет возможности осознать и удовлетворить все свои потребности, что в свою очередь делает человека СЧАСТЛИВЫМ И НАПОЛНЕННЫМ ЛЮБОВЬЮ. Для общества в целом - это первый шаг к удовлетворению своей жизнью, к осознанию ее смысла и мирному сосуществованию на ПЛАНЕТЕ.</w:t>
            </w:r>
          </w:p>
          <w:p w14:paraId="11CCD853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Наш договор на оказание услуг приятно удивит Вас - мы не принуждаем Вас платить ежемесячные роялти и не вводим Вас в строгие рамки «брендовых» идей.</w:t>
            </w:r>
          </w:p>
        </w:tc>
      </w:tr>
      <w:tr w:rsidR="00555E14" w:rsidRPr="00555E14" w14:paraId="3D5CEBB8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0BA98275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lastRenderedPageBreak/>
              <w:t>Страна, город происхождения:</w:t>
            </w:r>
          </w:p>
        </w:tc>
        <w:tc>
          <w:tcPr>
            <w:tcW w:w="6878" w:type="dxa"/>
            <w:shd w:val="clear" w:color="auto" w:fill="FFFFFF"/>
            <w:hideMark/>
          </w:tcPr>
          <w:p w14:paraId="00FE7862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Украина, Киев</w:t>
            </w:r>
          </w:p>
        </w:tc>
      </w:tr>
      <w:tr w:rsidR="00555E14" w:rsidRPr="00555E14" w14:paraId="080B28A8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30CBBA74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Год начала деятельности:</w:t>
            </w:r>
          </w:p>
        </w:tc>
        <w:tc>
          <w:tcPr>
            <w:tcW w:w="6878" w:type="dxa"/>
            <w:shd w:val="clear" w:color="auto" w:fill="FFFFFF"/>
            <w:hideMark/>
          </w:tcPr>
          <w:p w14:paraId="12BCB375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Бизнес «Ладушки» существует с 2007 года,</w:t>
            </w:r>
          </w:p>
          <w:p w14:paraId="6C3D55A2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Франшиза с 2013 года!</w:t>
            </w:r>
          </w:p>
        </w:tc>
      </w:tr>
      <w:tr w:rsidR="00555E14" w:rsidRPr="00555E14" w14:paraId="0C0DFFA6" w14:textId="77777777" w:rsidTr="00555E14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14:paraId="2F2371CD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Количество собственных точек:</w:t>
            </w:r>
          </w:p>
          <w:p w14:paraId="7DD184DC" w14:textId="77777777" w:rsidR="00555E14" w:rsidRPr="00555E14" w:rsidRDefault="00555E14" w:rsidP="00555E14">
            <w:pPr>
              <w:spacing w:after="270" w:line="315" w:lineRule="atLeast"/>
              <w:jc w:val="center"/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</w:pPr>
            <w:r w:rsidRPr="00555E14">
              <w:rPr>
                <w:rFonts w:ascii="Open Sans" w:eastAsia="Times New Roman" w:hAnsi="Open Sans" w:cs="Open Sans"/>
                <w:b/>
                <w:bCs/>
                <w:color w:val="868585"/>
                <w:sz w:val="21"/>
                <w:szCs w:val="21"/>
                <w:lang w:eastAsia="ru-RU"/>
              </w:rPr>
              <w:t>Количество франчайзинговых точек:</w:t>
            </w:r>
          </w:p>
        </w:tc>
        <w:tc>
          <w:tcPr>
            <w:tcW w:w="6878" w:type="dxa"/>
            <w:shd w:val="clear" w:color="auto" w:fill="FFFFFF"/>
            <w:hideMark/>
          </w:tcPr>
          <w:p w14:paraId="69E2DF62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2</w:t>
            </w:r>
          </w:p>
          <w:p w14:paraId="3FA0AF5C" w14:textId="77777777" w:rsid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</w:p>
          <w:p w14:paraId="12742076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2</w:t>
            </w:r>
          </w:p>
        </w:tc>
      </w:tr>
    </w:tbl>
    <w:p w14:paraId="1015404D" w14:textId="77777777" w:rsidR="00555E14" w:rsidRDefault="00555E14" w:rsidP="00555E14">
      <w:pPr>
        <w:shd w:val="clear" w:color="auto" w:fill="FFFFFF"/>
        <w:spacing w:after="270" w:line="315" w:lineRule="atLeast"/>
        <w:jc w:val="center"/>
        <w:rPr>
          <w:rFonts w:ascii="Open Sans" w:eastAsia="Times New Roman" w:hAnsi="Open Sans" w:cs="Open Sans"/>
          <w:color w:val="868585"/>
          <w:sz w:val="26"/>
          <w:szCs w:val="26"/>
          <w:lang w:eastAsia="ru-RU"/>
        </w:rPr>
      </w:pPr>
    </w:p>
    <w:p w14:paraId="1A5077E8" w14:textId="77777777" w:rsidR="00ED2D44" w:rsidRDefault="00ED2D44" w:rsidP="00555E14">
      <w:pPr>
        <w:shd w:val="clear" w:color="auto" w:fill="FFFFFF"/>
        <w:spacing w:after="270" w:line="315" w:lineRule="atLeast"/>
        <w:jc w:val="center"/>
        <w:rPr>
          <w:rFonts w:ascii="Open Sans" w:eastAsia="Times New Roman" w:hAnsi="Open Sans" w:cs="Open Sans"/>
          <w:color w:val="868585"/>
          <w:sz w:val="26"/>
          <w:szCs w:val="26"/>
          <w:lang w:eastAsia="ru-RU"/>
        </w:rPr>
      </w:pPr>
    </w:p>
    <w:p w14:paraId="1C14C006" w14:textId="77777777" w:rsidR="00555E14" w:rsidRPr="00555E14" w:rsidRDefault="00555E14" w:rsidP="00555E14">
      <w:pPr>
        <w:shd w:val="clear" w:color="auto" w:fill="FFFFFF"/>
        <w:spacing w:after="270" w:line="315" w:lineRule="atLeast"/>
        <w:jc w:val="center"/>
        <w:rPr>
          <w:rFonts w:ascii="Open Sans" w:eastAsia="Times New Roman" w:hAnsi="Open Sans" w:cs="Open Sans"/>
          <w:color w:val="868585"/>
          <w:sz w:val="26"/>
          <w:szCs w:val="26"/>
          <w:lang w:eastAsia="ru-RU"/>
        </w:rPr>
      </w:pPr>
      <w:r w:rsidRPr="00555E14">
        <w:rPr>
          <w:rFonts w:ascii="Open Sans" w:eastAsia="Times New Roman" w:hAnsi="Open Sans" w:cs="Open Sans"/>
          <w:color w:val="868585"/>
          <w:sz w:val="26"/>
          <w:szCs w:val="26"/>
          <w:lang w:eastAsia="ru-RU"/>
        </w:rPr>
        <w:lastRenderedPageBreak/>
        <w:t>Контактные данные:</w:t>
      </w:r>
    </w:p>
    <w:tbl>
      <w:tblPr>
        <w:tblW w:w="1020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0"/>
        <w:gridCol w:w="5466"/>
      </w:tblGrid>
      <w:tr w:rsidR="00555E14" w:rsidRPr="00555E14" w14:paraId="43E5BD47" w14:textId="77777777" w:rsidTr="00ED2D44">
        <w:trPr>
          <w:trHeight w:val="402"/>
          <w:tblCellSpacing w:w="15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75742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Контактное лицо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B57D8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Елена Воробей, президент сети</w:t>
            </w:r>
            <w:bookmarkStart w:id="0" w:name="_GoBack"/>
            <w:bookmarkEnd w:id="0"/>
          </w:p>
        </w:tc>
      </w:tr>
      <w:tr w:rsidR="00555E14" w:rsidRPr="00555E14" w14:paraId="4B38F888" w14:textId="77777777" w:rsidTr="00555E14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B3564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Телефон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C2D0B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050-817-71-74</w:t>
            </w:r>
          </w:p>
        </w:tc>
      </w:tr>
      <w:tr w:rsidR="00555E14" w:rsidRPr="00555E14" w14:paraId="6B2B2D8C" w14:textId="77777777" w:rsidTr="00555E14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344B5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E-mail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FC2A7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hyperlink r:id="rId6" w:history="1">
              <w:r w:rsidRPr="00ED2D44">
                <w:rPr>
                  <w:rFonts w:ascii="Arial" w:eastAsia="Times New Roman" w:hAnsi="Arial" w:cs="Arial"/>
                  <w:color w:val="000000"/>
                  <w:szCs w:val="17"/>
                  <w:u w:val="single"/>
                  <w:lang w:eastAsia="ru-RU"/>
                </w:rPr>
                <w:t>mailto:vorobey_elena@ukr.net</w:t>
              </w:r>
            </w:hyperlink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     </w:t>
            </w:r>
          </w:p>
        </w:tc>
      </w:tr>
      <w:tr w:rsidR="00555E14" w:rsidRPr="00555E14" w14:paraId="24FA6F16" w14:textId="77777777" w:rsidTr="00555E14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F4C7E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Facebook контактного лица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668B3" w14:textId="77777777" w:rsidR="00ED2D4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Елена Воробей </w:t>
            </w:r>
          </w:p>
          <w:p w14:paraId="430B564C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hyperlink r:id="rId7" w:history="1">
              <w:r w:rsidRPr="00ED2D44">
                <w:rPr>
                  <w:rFonts w:ascii="Arial" w:eastAsia="Times New Roman" w:hAnsi="Arial" w:cs="Arial"/>
                  <w:color w:val="000000"/>
                  <w:szCs w:val="17"/>
                  <w:u w:val="single"/>
                  <w:lang w:eastAsia="ru-RU"/>
                </w:rPr>
                <w:t>https://www.facebook.com/olena.vorobei</w:t>
              </w:r>
            </w:hyperlink>
          </w:p>
        </w:tc>
      </w:tr>
      <w:tr w:rsidR="00555E14" w:rsidRPr="00555E14" w14:paraId="431CCB64" w14:textId="77777777" w:rsidTr="00555E14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471CA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Skype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E2136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Lad-klad</w:t>
            </w:r>
          </w:p>
        </w:tc>
      </w:tr>
      <w:tr w:rsidR="00555E14" w:rsidRPr="00555E14" w14:paraId="3EF5ACFE" w14:textId="77777777" w:rsidTr="00555E14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38CB3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r w:rsidRPr="00555E14"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  <w:t>Сайт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992E7" w14:textId="77777777" w:rsidR="00555E14" w:rsidRPr="00555E14" w:rsidRDefault="00555E14" w:rsidP="00555E14">
            <w:pPr>
              <w:spacing w:after="270" w:line="315" w:lineRule="atLeast"/>
              <w:rPr>
                <w:rFonts w:ascii="Arial" w:eastAsia="Times New Roman" w:hAnsi="Arial" w:cs="Arial"/>
                <w:color w:val="868585"/>
                <w:szCs w:val="17"/>
                <w:lang w:eastAsia="ru-RU"/>
              </w:rPr>
            </w:pPr>
            <w:hyperlink r:id="rId8" w:history="1">
              <w:r w:rsidRPr="00ED2D44">
                <w:rPr>
                  <w:rFonts w:ascii="Arial" w:eastAsia="Times New Roman" w:hAnsi="Arial" w:cs="Arial"/>
                  <w:color w:val="000000"/>
                  <w:szCs w:val="17"/>
                  <w:u w:val="single"/>
                  <w:lang w:eastAsia="ru-RU"/>
                </w:rPr>
                <w:t>www.ladushki.kiev.ua</w:t>
              </w:r>
            </w:hyperlink>
          </w:p>
        </w:tc>
      </w:tr>
    </w:tbl>
    <w:p w14:paraId="71FA5686" w14:textId="77777777" w:rsidR="001C469E" w:rsidRDefault="001C469E"/>
    <w:sectPr w:rsidR="001C469E" w:rsidSect="00555E1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D5907"/>
    <w:multiLevelType w:val="multilevel"/>
    <w:tmpl w:val="5EEC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A594F"/>
    <w:multiLevelType w:val="multilevel"/>
    <w:tmpl w:val="F9F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14"/>
    <w:rsid w:val="001C469E"/>
    <w:rsid w:val="00555E14"/>
    <w:rsid w:val="00ED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4C3D"/>
  <w15:chartTrackingRefBased/>
  <w15:docId w15:val="{12D9A5B7-CE1A-4D2A-9A56-B0344E89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E1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55E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5E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5E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5E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5E1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5E1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D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ushki.kie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olena.vorob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bey_elena@ukr.net" TargetMode="External"/><Relationship Id="rId5" Type="http://schemas.openxmlformats.org/officeDocument/2006/relationships/hyperlink" Target="http://ladushki.kiev.ua/o-tsentre/chastnyj-detskij-sad-v-kiev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Zevs Serg</dc:creator>
  <cp:keywords/>
  <dc:description/>
  <cp:lastModifiedBy>Zevs Serg</cp:lastModifiedBy>
  <cp:revision>1</cp:revision>
  <dcterms:created xsi:type="dcterms:W3CDTF">2016-06-18T09:16:00Z</dcterms:created>
  <dcterms:modified xsi:type="dcterms:W3CDTF">2016-06-18T09:35:00Z</dcterms:modified>
</cp:coreProperties>
</file>